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4576" w14:textId="77777777" w:rsidR="00400D19" w:rsidRPr="00400D19" w:rsidRDefault="00400D19" w:rsidP="00400D1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Изолированные, целиком сделанные из стекла, раскрывающиеся двери</w:t>
      </w:r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▪Полки витрины с односторонним покрытием с </w:t>
      </w:r>
      <w:proofErr w:type="spellStart"/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ценникодержателями</w:t>
      </w:r>
      <w:proofErr w:type="spellEnd"/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шириной 40 мм</w:t>
      </w:r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▪Встроенные бампер и нижняя панель</w:t>
      </w:r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400D1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▪Нижний испаритель</w:t>
      </w:r>
    </w:p>
    <w:p w14:paraId="7B3FF9A1" w14:textId="4F2A3C34" w:rsidR="001F5D79" w:rsidRPr="00797209" w:rsidRDefault="001F5D79" w:rsidP="00797209">
      <w:pPr>
        <w:rPr>
          <w:lang w:val="ru-RU"/>
        </w:rPr>
      </w:pPr>
      <w:bookmarkStart w:id="0" w:name="_GoBack"/>
      <w:bookmarkEnd w:id="0"/>
    </w:p>
    <w:sectPr w:rsidR="001F5D79" w:rsidRPr="0079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00D19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2022-06-01T10:27:00Z</dcterms:modified>
</cp:coreProperties>
</file>