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0E2A" w14:textId="77777777" w:rsidR="009A6617" w:rsidRPr="009A6617" w:rsidRDefault="009A6617" w:rsidP="009A661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Ночные шторы с механическим приводом (30–50 % экономия энергопотребления)</w:t>
      </w:r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▪Полки витрины с односторонним покрытием с </w:t>
      </w:r>
      <w:proofErr w:type="spellStart"/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ценникодержателями</w:t>
      </w:r>
      <w:proofErr w:type="spellEnd"/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шириной 40 мм</w:t>
      </w:r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▪Встроенные бампер и нижняя панель</w:t>
      </w:r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9A6617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▪Нижний испаритель</w:t>
      </w:r>
    </w:p>
    <w:p w14:paraId="7B3FF9A1" w14:textId="4F2A3C34" w:rsidR="001F5D79" w:rsidRPr="009A6617" w:rsidRDefault="001F5D79" w:rsidP="009A6617">
      <w:pPr>
        <w:rPr>
          <w:lang w:val="ru-RU"/>
        </w:rPr>
      </w:pPr>
      <w:bookmarkStart w:id="0" w:name="_GoBack"/>
      <w:bookmarkEnd w:id="0"/>
    </w:p>
    <w:sectPr w:rsidR="001F5D79" w:rsidRPr="009A66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9A6617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2022-06-01T09:52:00Z</dcterms:modified>
</cp:coreProperties>
</file>